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sur demande pour projets &gt; 2000m²</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