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couleur est rouge-brun en masse et rouge-brun jusqu’à rouge-bordeaux avec des nuances noir-bleu brillant sur les côtés visibles.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65</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0,5 kg/(m² . min ) klasse  IW1</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0,85 W/mK (tableau 1 EN1745)</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0,5 kg/(m².min) Classe IW1 (absorption modérée)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