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est brun en masse et brun nuancé avec des nuances noir-bleu brillant sur les côtés visibles.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65</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0,5 kg/(m² . min ) klasse  IW1</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0,5 kg/(m².min) Classe IW1 (absorption minime)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Y</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