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beige gris, brun gris avec quelques touches pastel.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Vieux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