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(intérieure et/ou extérieure) sera réalisée avec une brique de parement moulée à la presse sablée avec un aspect rustique avec des restes de ciment blanc et gris.La couleur est nuancée rouge-orange à brun foncé avec des restes de ciment blanc et gris.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Ce produit entièrement naturel est fabriqué avec de l’argile alluviale du quaternaire en provenant de la vallée de l’Escaut.</w:t>
        <w:br/>
        <w:t>La brique est formée dans un moule en insérant un bloc d’argile qui est cuit à une température de 1150° et ensuite vieillies et cimentées.  La brique est une moulée à la presse massive avec une structure homogène. Les palettes contiennent 10 % à 15 % de ½ et ¾ briques.</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de parement bénéficient des labels « CE » et « Benor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*224x74x54 mm</w:t>
            </w:r>
          </w:p>
        </w:tc>
        <w:tc>
          <w:p>
            <w:r>
              <w:rPr>
                <w:sz w:val="14"/>
                <w:rFonts w:ascii="Myriad Pro Light"/>
                <w:tcPr>
                  <w:vAlign w:val="center"/>
                </w:tcPr>
              </w:rPr>
              <w:t>Brick7</w:t>
            </w:r>
          </w:p>
        </w:tc>
      </w:tr>
      <w:tr>
        <w:tc>
          <w:p>
            <w:r>
              <w:rPr>
                <w:sz w:val="14"/>
                <w:rFonts w:ascii="Myriad Pro Light"/>
                <w:tcPr>
                  <w:vAlign w:val="center"/>
                </w:tcPr>
              </w:rPr>
              <w:t>Quantité / m² avec un joint traditionnel</w:t>
            </w:r>
          </w:p>
        </w:tc>
        <w:tc>
          <w:p>
            <w:r>
              <w:rPr>
                <w:sz w:val="14"/>
                <w:rFonts w:ascii="Myriad Pro Light"/>
                <w:tcPr>
                  <w:vAlign w:val="center"/>
                </w:tcPr>
              </w:rPr>
              <w:t>ca. 65 (12 mm)</w:t>
            </w:r>
          </w:p>
        </w:tc>
        <w:tc>
          <w:p>
            <w:r>
              <w:rPr>
                <w:sz w:val="14"/>
                <w:rFonts w:ascii="Myriad Pro Light"/>
                <w:tcPr>
                  <w:vAlign w:val="center"/>
                </w:tcPr>
              </w:rPr>
              <w:t/>
            </w:r>
          </w:p>
        </w:tc>
      </w:tr>
      <w:tr>
        <w:tc>
          <w:p>
            <w:r>
              <w:rPr>
                <w:sz w:val="14"/>
                <w:rFonts w:ascii="Myriad Pro Light"/>
                <w:tcPr>
                  <w:vAlign w:val="center"/>
                </w:tcPr>
              </w:rPr>
              <w:t>Dimensions de fabrication (L xlxh)</w:t>
            </w:r>
          </w:p>
        </w:tc>
        <w:tc>
          <w:p>
            <w:r>
              <w:rPr>
                <w:sz w:val="14"/>
                <w:rFonts w:ascii="Myriad Pro Light"/>
                <w:tcPr>
                  <w:vAlign w:val="center"/>
                </w:tcPr>
              </w:rPr>
              <w:t>*192x92x52 mm</w:t>
            </w:r>
          </w:p>
        </w:tc>
        <w:tc>
          <w:p>
            <w:r>
              <w:rPr>
                <w:sz w:val="14"/>
                <w:rFonts w:ascii="Myriad Pro Light"/>
                <w:tcPr>
                  <w:vAlign w:val="center"/>
                </w:tcPr>
              </w:rPr>
              <w:t>M50</w:t>
            </w:r>
          </w:p>
        </w:tc>
      </w:tr>
      <w:tr>
        <w:tc>
          <w:p>
            <w:r>
              <w:rPr>
                <w:sz w:val="14"/>
                <w:rFonts w:ascii="Myriad Pro Light"/>
                <w:tcPr>
                  <w:vAlign w:val="center"/>
                </w:tcPr>
              </w:rPr>
              <w:t>Quantité / m² avec un joint traditionnel</w:t>
            </w:r>
          </w:p>
        </w:tc>
        <w:tc>
          <w:p>
            <w:r>
              <w:rPr>
                <w:sz w:val="14"/>
                <w:rFonts w:ascii="Myriad Pro Light"/>
                <w:tcPr>
                  <w:vAlign w:val="center"/>
                </w:tcPr>
              </w:rPr>
              <w:t>ca. 77 (12 mm)</w:t>
            </w:r>
          </w:p>
        </w:tc>
        <w:tc>
          <w:p>
            <w:r>
              <w:rPr>
                <w:sz w:val="14"/>
                <w:rFonts w:ascii="Myriad Pro Light"/>
                <w:tcPr>
                  <w:vAlign w:val="center"/>
                </w:tcPr>
              </w:rPr>
              <w:t/>
            </w:r>
          </w:p>
        </w:tc>
      </w:tr>
      <w:tr>
        <w:tc>
          <w:p>
            <w:r>
              <w:rPr>
                <w:sz w:val="14"/>
                <w:rFonts w:ascii="Myriad Pro Light"/>
                <w:tcPr>
                  <w:vAlign w:val="center"/>
                </w:tcPr>
              </w:rPr>
              <w:t>Dimensions de fabrication (L xlxh)</w:t>
            </w:r>
          </w:p>
        </w:tc>
        <w:tc>
          <w:p>
            <w:r>
              <w:rPr>
                <w:sz w:val="14"/>
                <w:rFonts w:ascii="Myriad Pro Light"/>
                <w:tcPr>
                  <w:vAlign w:val="center"/>
                </w:tcPr>
              </w:rPr>
              <w:t>*217x102x65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57</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0,60 W/mK  (tableau 1 EN1745) </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selon le PTV 23-002 (propriétés supplémentaires requises pour la Belgique)</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Fleurs</w:t>
            </w:r>
          </w:p>
        </w:tc>
        <w:tc>
          <w:p>
            <w:r>
              <w:rPr>
                <w:sz w:val="14"/>
                <w:rFonts w:ascii="Myriad Pro Light"/>
                <w:tcPr>
                  <w:vAlign w:val="center"/>
                  <w:tcW w:w="9060" w:type="dxa"/>
                </w:tcPr>
              </w:rPr>
              <w:t>pas d’efflorescence (selon NBN B24-209) </w:t>
            </w:r>
          </w:p>
        </w:tc>
      </w:tr>
      <w:tr>
        <w:tc>
          <w:p>
            <w:r>
              <w:rPr>
                <w:sz w:val="14"/>
                <w:rFonts w:ascii="Myriad Pro Light"/>
                <w:tcPr>
                  <w:vAlign w:val="center"/>
                  <w:tcW w:w="1700" w:type="dxa"/>
                </w:tcPr>
              </w:rPr>
              <w:t>résistance au gel</w:t>
            </w:r>
          </w:p>
        </w:tc>
        <w:tc>
          <w:p>
            <w:r>
              <w:rPr>
                <w:sz w:val="14"/>
                <w:rFonts w:ascii="Myriad Pro Light"/>
                <w:tcPr>
                  <w:vAlign w:val="center"/>
                  <w:tcW w:w="9060" w:type="dxa"/>
                </w:tcPr>
              </w:rPr>
              <w:t>F2 (selon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 propriétés supplémentaires selon BRL 52230 pour les Pays-Bas</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NL BSB certificat:</w:t>
            </w:r>
          </w:p>
        </w:tc>
        <w:tc>
          <w:p>
            <w:r>
              <w:rPr>
                <w:sz w:val="14"/>
                <w:rFonts w:ascii="Myriad Pro Light"/>
                <w:tcPr>
                  <w:vAlign w:val="center"/>
                </w:tcPr>
              </w:rPr>
              <w:t>certificat IKB 1494 </w:t>
            </w:r>
          </w:p>
        </w:tc>
      </w:tr>
    </w:tbl>
    <w:p w:rsidR="004A7C85" w:rsidP="004A7C85" w:rsidRDefault="004A7C85" w14:paraId="0B909361" w14:textId="1EF070E3">
      <w:pPr>
        <w:pStyle w:val="Kop2"/>
        <w:keepLines/>
        <w:spacing w:before="134"/>
      </w:pPr>
      <w:r>
        <w:rPr>
          <w:noProof/>
          <w:color w:val="111111"/>
        </w:rPr>
        <w:t>Propriétés supplémentaires selon BRL 1007 pour les Pays-Bas</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Classification selon le code euro:</w:t>
            </w:r>
          </w:p>
        </w:tc>
        <w:tc>
          <w:p>
            <w:r>
              <w:rPr>
                <w:sz w:val="14"/>
                <w:rFonts w:ascii="Myriad Pro Light"/>
                <w:tcPr>
                  <w:vAlign w:val="center"/>
                </w:tcPr>
              </w:rPr>
              <w:t>Groupe 1 </w:t>
            </w:r>
          </w:p>
        </w:tc>
      </w:tr>
      <w:tr>
        <w:tc>
          <w:p>
            <w:r>
              <w:rPr>
                <w:sz w:val="14"/>
                <w:rFonts w:ascii="Myriad Pro Light"/>
                <w:tcPr>
                  <w:vAlign w:val="center"/>
                </w:tcPr>
              </w:rPr>
              <w:t>Résistance au gel:</w:t>
            </w:r>
          </w:p>
        </w:tc>
        <w:tc>
          <w:p>
            <w:r>
              <w:rPr>
                <w:sz w:val="14"/>
                <w:rFonts w:ascii="Myriad Pro Light"/>
                <w:tcPr>
                  <w:vAlign w:val="center"/>
                </w:tcPr>
              </w:rPr>
              <w:t>Classe D </w:t>
            </w:r>
          </w:p>
        </w:tc>
      </w:tr>
      <w:tr>
        <w:tc>
          <w:p>
            <w:r>
              <w:rPr>
                <w:sz w:val="14"/>
                <w:rFonts w:ascii="Myriad Pro Light"/>
                <w:tcPr>
                  <w:vAlign w:val="center"/>
                </w:tcPr>
              </w:rPr>
              <w:t>Aspiration initiale de l'eau:</w:t>
            </w:r>
          </w:p>
        </w:tc>
        <w:tc>
          <w:p>
            <w:r>
              <w:rPr>
                <w:sz w:val="14"/>
                <w:rFonts w:ascii="Myriad Pro Light"/>
                <w:tcPr>
                  <w:vAlign w:val="center"/>
                </w:tcPr>
              </w:rPr>
              <w:t>&lt; 4kg/(m².min) Classe IW3 (absorption normale)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Vieux Oudenaerde</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01-04-2025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