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1,5 kg/(m².min) Classe IW2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