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Sepia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w:t>
        <w:br/>
        <w:t>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waterpasserende kleiklinkers Privé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