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Carbon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micro-Devalcoëfficiënt (MDE – weerstand tegen afslijten) niet groter dan 15.</w:t>
        <w:br/>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br/>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